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75" w:lineRule="exact"/>
        <w:rPr>
          <w:rFonts w:ascii="Times New Roman"/>
          <w:sz w:val="7"/>
        </w:rPr>
      </w:pPr>
      <w:r>
        <w:rPr>
          <w:rFonts w:ascii="Times New Roman"/>
          <w:position w:val="-1"/>
          <w:sz w:val="7"/>
        </w:rPr>
        <w:pict>
          <v:group style="width:822pt;height:3.75pt;mso-position-horizontal-relative:char;mso-position-vertical-relative:line" coordorigin="0,0" coordsize="16440,75">
            <v:rect style="position:absolute;left:0;top:0;width:16440;height:75" filled="true" fillcolor="#1587c9" stroked="false">
              <v:fill type="solid"/>
            </v:rect>
          </v:group>
        </w:pict>
      </w:r>
      <w:r>
        <w:rPr>
          <w:rFonts w:ascii="Times New Roman"/>
          <w:position w:val="-1"/>
          <w:sz w:val="7"/>
        </w:rPr>
      </w: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3"/>
        <w:ind w:left="0"/>
        <w:rPr>
          <w:rFonts w:ascii="Times New Roman"/>
          <w:sz w:val="19"/>
        </w:rPr>
      </w:pPr>
    </w:p>
    <w:p>
      <w:pPr>
        <w:pStyle w:val="Title"/>
      </w:pPr>
      <w:r>
        <w:rPr>
          <w:color w:val="1587C9"/>
        </w:rPr>
        <w:t>NOTICES</w:t>
      </w: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spacing w:before="5"/>
        <w:ind w:left="0"/>
        <w:rPr>
          <w:rFonts w:ascii="Arial"/>
          <w:b/>
          <w:sz w:val="22"/>
        </w:rPr>
      </w:pPr>
    </w:p>
    <w:p>
      <w:pPr>
        <w:tabs>
          <w:tab w:pos="11597" w:val="left" w:leader="none"/>
        </w:tabs>
        <w:spacing w:before="95"/>
        <w:ind w:left="3221" w:right="0" w:firstLine="0"/>
        <w:jc w:val="left"/>
        <w:rPr>
          <w:sz w:val="18"/>
        </w:rPr>
      </w:pPr>
      <w:r>
        <w:rPr/>
        <w:pict>
          <v:group style="position:absolute;margin-left:10pt;margin-top:-1.88814pt;width:138.9pt;height:26.25pt;mso-position-horizontal-relative:page;mso-position-vertical-relative:paragraph;z-index:15732224" coordorigin="200,-38" coordsize="2778,525">
            <v:rect style="position:absolute;left:200;top:-38;width:2778;height:525" filled="true" fillcolor="#d8ebf7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00;top:-38;width:2778;height:525" type="#_x0000_t202" filled="false" stroked="false">
              <v:textbox inset="0,0,0,0">
                <w:txbxContent>
                  <w:p>
                    <w:pPr>
                      <w:spacing w:before="120"/>
                      <w:ind w:left="75" w:right="0" w:firstLine="0"/>
                      <w:jc w:val="left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DA5D26"/>
                        <w:sz w:val="21"/>
                      </w:rPr>
                      <w:t>Notice</w:t>
                    </w:r>
                    <w:r>
                      <w:rPr>
                        <w:rFonts w:ascii="Arial"/>
                        <w:b/>
                        <w:color w:val="DA5D26"/>
                        <w:spacing w:val="-5"/>
                        <w:sz w:val="21"/>
                      </w:rPr>
                      <w:t> </w:t>
                    </w:r>
                    <w:r>
                      <w:rPr>
                        <w:rFonts w:ascii="Arial"/>
                        <w:b/>
                        <w:color w:val="DA5D26"/>
                        <w:sz w:val="21"/>
                      </w:rPr>
                      <w:t>No.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428.839996pt;margin-top:-1.88814pt;width:138.9pt;height:26.25pt;mso-position-horizontal-relative:page;mso-position-vertical-relative:paragraph;z-index:-15777792" type="#_x0000_t202" filled="true" fillcolor="#d8ebf7" stroked="false">
            <v:textbox inset="0,0,0,0">
              <w:txbxContent>
                <w:p>
                  <w:pPr>
                    <w:spacing w:before="120"/>
                    <w:ind w:left="75" w:right="0" w:firstLine="0"/>
                    <w:jc w:val="left"/>
                    <w:rPr>
                      <w:rFonts w:ascii="Arial"/>
                      <w:b/>
                      <w:sz w:val="21"/>
                    </w:rPr>
                  </w:pPr>
                  <w:r>
                    <w:rPr>
                      <w:rFonts w:ascii="Arial"/>
                      <w:b/>
                      <w:color w:val="DA5D26"/>
                      <w:sz w:val="21"/>
                    </w:rPr>
                    <w:t>Notice</w:t>
                  </w:r>
                  <w:r>
                    <w:rPr>
                      <w:rFonts w:ascii="Arial"/>
                      <w:b/>
                      <w:color w:val="DA5D26"/>
                      <w:spacing w:val="-6"/>
                      <w:sz w:val="21"/>
                    </w:rPr>
                    <w:t> </w:t>
                  </w:r>
                  <w:r>
                    <w:rPr>
                      <w:rFonts w:ascii="Arial"/>
                      <w:b/>
                      <w:color w:val="DA5D26"/>
                      <w:sz w:val="21"/>
                    </w:rPr>
                    <w:t>Date</w:t>
                  </w:r>
                </w:p>
              </w:txbxContent>
            </v:textbox>
            <v:fill type="solid"/>
            <w10:wrap type="none"/>
          </v:shape>
        </w:pict>
      </w:r>
      <w:r>
        <w:rPr>
          <w:sz w:val="18"/>
        </w:rPr>
        <w:t>20210827-44</w:t>
        <w:tab/>
        <w:t>27</w:t>
      </w:r>
      <w:r>
        <w:rPr>
          <w:spacing w:val="-4"/>
          <w:sz w:val="18"/>
        </w:rPr>
        <w:t> </w:t>
      </w:r>
      <w:r>
        <w:rPr>
          <w:sz w:val="18"/>
        </w:rPr>
        <w:t>Aug</w:t>
      </w:r>
      <w:r>
        <w:rPr>
          <w:spacing w:val="-3"/>
          <w:sz w:val="18"/>
        </w:rPr>
        <w:t> </w:t>
      </w:r>
      <w:r>
        <w:rPr>
          <w:sz w:val="18"/>
        </w:rPr>
        <w:t>2021</w:t>
      </w:r>
    </w:p>
    <w:p>
      <w:pPr>
        <w:pStyle w:val="BodyText"/>
        <w:spacing w:before="4"/>
        <w:ind w:left="0"/>
        <w:rPr>
          <w:sz w:val="11"/>
        </w:rPr>
      </w:pPr>
      <w:r>
        <w:rPr/>
        <w:pict>
          <v:shape style="position:absolute;margin-left:162.309998pt;margin-top:8.881299pt;width:250.85pt;height:.1pt;mso-position-horizontal-relative:page;mso-position-vertical-relative:paragraph;z-index:-15728128;mso-wrap-distance-left:0;mso-wrap-distance-right:0" coordorigin="3246,178" coordsize="5017,0" path="m3246,178l8263,178e" filled="false" stroked="true" strokeweight=".75pt" strokecolor="#1587c9">
            <v:path arrowok="t"/>
            <v:stroke dashstyle="solid"/>
            <w10:wrap type="topAndBottom"/>
          </v:shape>
        </w:pict>
      </w:r>
      <w:r>
        <w:rPr/>
        <w:pict>
          <v:shape style="position:absolute;margin-left:581.140015pt;margin-top:8.881299pt;width:250.9pt;height:.1pt;mso-position-horizontal-relative:page;mso-position-vertical-relative:paragraph;z-index:-15727616;mso-wrap-distance-left:0;mso-wrap-distance-right:0" coordorigin="11623,178" coordsize="5018,0" path="m11623,178l16640,178e" filled="false" stroked="true" strokeweight=".75pt" strokecolor="#1587c9">
            <v:path arrowok="t"/>
            <v:stroke dashstyle="solid"/>
            <w10:wrap type="topAndBottom"/>
          </v:shape>
        </w:pict>
      </w:r>
    </w:p>
    <w:p>
      <w:pPr>
        <w:pStyle w:val="BodyText"/>
        <w:spacing w:before="9"/>
        <w:ind w:left="0"/>
        <w:rPr>
          <w:sz w:val="13"/>
        </w:rPr>
      </w:pPr>
    </w:p>
    <w:p>
      <w:pPr>
        <w:tabs>
          <w:tab w:pos="11597" w:val="left" w:leader="none"/>
        </w:tabs>
        <w:spacing w:before="95"/>
        <w:ind w:left="3221" w:right="0" w:firstLine="0"/>
        <w:jc w:val="left"/>
        <w:rPr>
          <w:sz w:val="18"/>
        </w:rPr>
      </w:pPr>
      <w:r>
        <w:rPr/>
        <w:pict>
          <v:group style="position:absolute;margin-left:10pt;margin-top:-1.88814pt;width:138.9pt;height:26.25pt;mso-position-horizontal-relative:page;mso-position-vertical-relative:paragraph;z-index:15732736" coordorigin="200,-38" coordsize="2778,525">
            <v:rect style="position:absolute;left:200;top:-38;width:2778;height:525" filled="true" fillcolor="#d8ebf7" stroked="false">
              <v:fill type="solid"/>
            </v:rect>
            <v:shape style="position:absolute;left:200;top:-38;width:2778;height:525" type="#_x0000_t202" filled="false" stroked="false">
              <v:textbox inset="0,0,0,0">
                <w:txbxContent>
                  <w:p>
                    <w:pPr>
                      <w:spacing w:before="120"/>
                      <w:ind w:left="75" w:right="0" w:firstLine="0"/>
                      <w:jc w:val="left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DA5D26"/>
                        <w:sz w:val="21"/>
                      </w:rPr>
                      <w:t>Category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428.839996pt;margin-top:-1.88814pt;width:138.9pt;height:26.25pt;mso-position-horizontal-relative:page;mso-position-vertical-relative:paragraph;z-index:-15778304" type="#_x0000_t202" filled="true" fillcolor="#d8ebf7" stroked="false">
            <v:textbox inset="0,0,0,0">
              <w:txbxContent>
                <w:p>
                  <w:pPr>
                    <w:spacing w:before="120"/>
                    <w:ind w:left="75" w:right="0" w:firstLine="0"/>
                    <w:jc w:val="left"/>
                    <w:rPr>
                      <w:rFonts w:ascii="Arial"/>
                      <w:b/>
                      <w:sz w:val="21"/>
                    </w:rPr>
                  </w:pPr>
                  <w:r>
                    <w:rPr>
                      <w:rFonts w:ascii="Arial"/>
                      <w:b/>
                      <w:color w:val="DA5D26"/>
                      <w:sz w:val="21"/>
                    </w:rPr>
                    <w:t>Segment</w:t>
                  </w:r>
                </w:p>
              </w:txbxContent>
            </v:textbox>
            <v:fill type="solid"/>
            <w10:wrap type="none"/>
          </v:shape>
        </w:pict>
      </w:r>
      <w:r>
        <w:rPr>
          <w:sz w:val="18"/>
        </w:rPr>
        <w:t>Compliance</w:t>
        <w:tab/>
        <w:t>General</w:t>
      </w:r>
    </w:p>
    <w:p>
      <w:pPr>
        <w:pStyle w:val="BodyText"/>
        <w:spacing w:before="4"/>
        <w:ind w:left="0"/>
        <w:rPr>
          <w:sz w:val="11"/>
        </w:rPr>
      </w:pPr>
      <w:r>
        <w:rPr/>
        <w:pict>
          <v:shape style="position:absolute;margin-left:162.309998pt;margin-top:8.876513pt;width:250.85pt;height:.1pt;mso-position-horizontal-relative:page;mso-position-vertical-relative:paragraph;z-index:-15727104;mso-wrap-distance-left:0;mso-wrap-distance-right:0" coordorigin="3246,178" coordsize="5017,0" path="m3246,178l8263,178e" filled="false" stroked="true" strokeweight=".75pt" strokecolor="#1587c9">
            <v:path arrowok="t"/>
            <v:stroke dashstyle="solid"/>
            <w10:wrap type="topAndBottom"/>
          </v:shape>
        </w:pict>
      </w:r>
      <w:r>
        <w:rPr/>
        <w:pict>
          <v:shape style="position:absolute;margin-left:581.140015pt;margin-top:8.876513pt;width:250.9pt;height:.1pt;mso-position-horizontal-relative:page;mso-position-vertical-relative:paragraph;z-index:-15726592;mso-wrap-distance-left:0;mso-wrap-distance-right:0" coordorigin="11623,178" coordsize="5018,0" path="m11623,178l16640,178e" filled="false" stroked="true" strokeweight=".75pt" strokecolor="#1587c9">
            <v:path arrowok="t"/>
            <v:stroke dashstyle="solid"/>
            <w10:wrap type="topAndBottom"/>
          </v:shape>
        </w:pict>
      </w:r>
    </w:p>
    <w:p>
      <w:pPr>
        <w:pStyle w:val="BodyText"/>
        <w:spacing w:before="9"/>
        <w:ind w:left="0"/>
        <w:rPr>
          <w:sz w:val="13"/>
        </w:rPr>
      </w:pPr>
    </w:p>
    <w:p>
      <w:pPr>
        <w:spacing w:before="95"/>
        <w:ind w:left="3221" w:right="0" w:firstLine="0"/>
        <w:jc w:val="left"/>
        <w:rPr>
          <w:sz w:val="18"/>
        </w:rPr>
      </w:pPr>
      <w:r>
        <w:rPr/>
        <w:pict>
          <v:group style="position:absolute;margin-left:10pt;margin-top:-1.888079pt;width:138.9pt;height:26.25pt;mso-position-horizontal-relative:page;mso-position-vertical-relative:paragraph;z-index:15733248" coordorigin="200,-38" coordsize="2778,525">
            <v:rect style="position:absolute;left:200;top:-38;width:2778;height:525" filled="true" fillcolor="#d8ebf7" stroked="false">
              <v:fill type="solid"/>
            </v:rect>
            <v:shape style="position:absolute;left:200;top:-38;width:2778;height:525" type="#_x0000_t202" filled="false" stroked="false">
              <v:textbox inset="0,0,0,0">
                <w:txbxContent>
                  <w:p>
                    <w:pPr>
                      <w:spacing w:before="120"/>
                      <w:ind w:left="75" w:right="0" w:firstLine="0"/>
                      <w:jc w:val="left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DA5D26"/>
                        <w:sz w:val="21"/>
                      </w:rPr>
                      <w:t>Subject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z w:val="18"/>
        </w:rPr>
        <w:t>Creating</w:t>
      </w:r>
      <w:r>
        <w:rPr>
          <w:spacing w:val="-6"/>
          <w:sz w:val="18"/>
        </w:rPr>
        <w:t> </w:t>
      </w:r>
      <w:r>
        <w:rPr>
          <w:sz w:val="18"/>
        </w:rPr>
        <w:t>investor</w:t>
      </w:r>
      <w:r>
        <w:rPr>
          <w:spacing w:val="-5"/>
          <w:sz w:val="18"/>
        </w:rPr>
        <w:t> </w:t>
      </w:r>
      <w:r>
        <w:rPr>
          <w:sz w:val="18"/>
        </w:rPr>
        <w:t>awareness</w:t>
      </w:r>
      <w:r>
        <w:rPr>
          <w:spacing w:val="-5"/>
          <w:sz w:val="18"/>
        </w:rPr>
        <w:t> </w:t>
      </w:r>
      <w:r>
        <w:rPr>
          <w:sz w:val="18"/>
        </w:rPr>
        <w:t>and</w:t>
      </w:r>
      <w:r>
        <w:rPr>
          <w:spacing w:val="-5"/>
          <w:sz w:val="18"/>
        </w:rPr>
        <w:t> </w:t>
      </w:r>
      <w:r>
        <w:rPr>
          <w:sz w:val="18"/>
        </w:rPr>
        <w:t>safeguarding</w:t>
      </w:r>
      <w:r>
        <w:rPr>
          <w:spacing w:val="-5"/>
          <w:sz w:val="18"/>
        </w:rPr>
        <w:t> </w:t>
      </w:r>
      <w:r>
        <w:rPr>
          <w:sz w:val="18"/>
        </w:rPr>
        <w:t>clients’</w:t>
      </w:r>
      <w:r>
        <w:rPr>
          <w:spacing w:val="-5"/>
          <w:sz w:val="18"/>
        </w:rPr>
        <w:t> </w:t>
      </w:r>
      <w:r>
        <w:rPr>
          <w:sz w:val="18"/>
        </w:rPr>
        <w:t>assets</w:t>
      </w:r>
    </w:p>
    <w:p>
      <w:pPr>
        <w:pStyle w:val="BodyText"/>
        <w:spacing w:before="4"/>
        <w:ind w:left="0"/>
        <w:rPr>
          <w:sz w:val="11"/>
        </w:rPr>
      </w:pPr>
      <w:r>
        <w:rPr/>
        <w:pict>
          <v:shape style="position:absolute;margin-left:162.309998pt;margin-top:8.876513pt;width:669.7pt;height:.1pt;mso-position-horizontal-relative:page;mso-position-vertical-relative:paragraph;z-index:-15726080;mso-wrap-distance-left:0;mso-wrap-distance-right:0" coordorigin="3246,178" coordsize="13394,0" path="m3246,178l16640,178e" filled="false" stroked="true" strokeweight=".75pt" strokecolor="#1587c9">
            <v:path arrowok="t"/>
            <v:stroke dashstyle="solid"/>
            <w10:wrap type="topAndBottom"/>
          </v:shape>
        </w:pict>
      </w:r>
      <w:r>
        <w:rPr/>
        <w:pict>
          <v:group style="position:absolute;margin-left:10pt;margin-top:16.756514pt;width:822pt;height:26.25pt;mso-position-horizontal-relative:page;mso-position-vertical-relative:paragraph;z-index:-15725568;mso-wrap-distance-left:0;mso-wrap-distance-right:0" coordorigin="200,335" coordsize="16440,525">
            <v:rect style="position:absolute;left:200;top:335;width:16440;height:525" filled="true" fillcolor="#d8ebf7" stroked="false">
              <v:fill type="solid"/>
            </v:rect>
            <v:shape style="position:absolute;left:275;top:461;width:813;height:235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DA5D26"/>
                        <w:sz w:val="21"/>
                      </w:rPr>
                      <w:t>Content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"/>
        <w:ind w:left="0"/>
        <w:rPr>
          <w:sz w:val="7"/>
        </w:rPr>
      </w:pPr>
    </w:p>
    <w:p>
      <w:pPr>
        <w:pStyle w:val="BodyText"/>
        <w:spacing w:line="249" w:lineRule="auto" w:before="70"/>
        <w:ind w:right="114"/>
        <w:jc w:val="both"/>
      </w:pPr>
      <w:r>
        <w:rPr/>
        <w:t>This has reference to Exchange notice 20200116-44 dated January 16, 2020 with respect to actual settlement of client accounts. As per the existing</w:t>
      </w:r>
      <w:r>
        <w:rPr>
          <w:spacing w:val="1"/>
        </w:rPr>
        <w:t> </w:t>
      </w:r>
      <w:r>
        <w:rPr/>
        <w:t>requirements, members are required to mandatorily settle the client accounts at least once within a gap of maximum 30 / 90 days between two settlements</w:t>
      </w:r>
      <w:r>
        <w:rPr>
          <w:spacing w:val="-64"/>
        </w:rPr>
        <w:t> </w:t>
      </w:r>
      <w:r>
        <w:rPr/>
        <w:t>of running account as per the preference of the client.</w:t>
      </w:r>
      <w:r>
        <w:rPr>
          <w:spacing w:val="1"/>
        </w:rPr>
        <w:t> </w:t>
      </w:r>
      <w:r>
        <w:rPr/>
        <w:t>Further, SEBI has issued circular SEBI/HO/MIRSD/DOP/P/CIR/2021/577 dated June 16, 2021</w:t>
      </w:r>
      <w:r>
        <w:rPr>
          <w:spacing w:val="1"/>
        </w:rPr>
        <w:t> </w:t>
      </w:r>
      <w:r>
        <w:rPr/>
        <w:t>revising the guidelines on settlement of running account of client’s funds lying with the trading members and also mandated to return the credit balances of</w:t>
      </w:r>
      <w:r>
        <w:rPr>
          <w:spacing w:val="-64"/>
        </w:rPr>
        <w:t> </w:t>
      </w:r>
      <w:r>
        <w:rPr/>
        <w:t>clients</w:t>
      </w:r>
      <w:r>
        <w:rPr>
          <w:spacing w:val="-2"/>
        </w:rPr>
        <w:t> </w:t>
      </w:r>
      <w:r>
        <w:rPr/>
        <w:t>within</w:t>
      </w:r>
      <w:r>
        <w:rPr>
          <w:spacing w:val="-2"/>
        </w:rPr>
        <w:t> </w:t>
      </w:r>
      <w:r>
        <w:rPr/>
        <w:t>three</w:t>
      </w:r>
      <w:r>
        <w:rPr>
          <w:spacing w:val="-2"/>
        </w:rPr>
        <w:t> </w:t>
      </w:r>
      <w:r>
        <w:rPr/>
        <w:t>working</w:t>
      </w:r>
      <w:r>
        <w:rPr>
          <w:spacing w:val="-2"/>
        </w:rPr>
        <w:t> </w:t>
      </w:r>
      <w:r>
        <w:rPr/>
        <w:t>days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case</w:t>
      </w:r>
      <w:r>
        <w:rPr>
          <w:spacing w:val="-1"/>
        </w:rPr>
        <w:t> </w:t>
      </w:r>
      <w:r>
        <w:rPr/>
        <w:t>client</w:t>
      </w:r>
      <w:r>
        <w:rPr>
          <w:spacing w:val="-2"/>
        </w:rPr>
        <w:t> </w:t>
      </w:r>
      <w:r>
        <w:rPr/>
        <w:t>has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done</w:t>
      </w:r>
      <w:r>
        <w:rPr>
          <w:spacing w:val="-2"/>
        </w:rPr>
        <w:t> </w:t>
      </w:r>
      <w:r>
        <w:rPr/>
        <w:t>any</w:t>
      </w:r>
      <w:r>
        <w:rPr>
          <w:spacing w:val="-2"/>
        </w:rPr>
        <w:t> </w:t>
      </w:r>
      <w:r>
        <w:rPr/>
        <w:t>transaction</w:t>
      </w:r>
      <w:r>
        <w:rPr>
          <w:spacing w:val="-2"/>
        </w:rPr>
        <w:t> </w:t>
      </w:r>
      <w:r>
        <w:rPr/>
        <w:t>within</w:t>
      </w:r>
      <w:r>
        <w:rPr>
          <w:spacing w:val="-1"/>
        </w:rPr>
        <w:t> </w:t>
      </w:r>
      <w:r>
        <w:rPr/>
        <w:t>30</w:t>
      </w:r>
      <w:r>
        <w:rPr>
          <w:spacing w:val="-2"/>
        </w:rPr>
        <w:t> </w:t>
      </w:r>
      <w:r>
        <w:rPr/>
        <w:t>calendar</w:t>
      </w:r>
      <w:r>
        <w:rPr>
          <w:spacing w:val="-2"/>
        </w:rPr>
        <w:t> </w:t>
      </w:r>
      <w:r>
        <w:rPr/>
        <w:t>days</w:t>
      </w:r>
      <w:r>
        <w:rPr>
          <w:spacing w:val="-2"/>
        </w:rPr>
        <w:t> </w:t>
      </w:r>
      <w:r>
        <w:rPr/>
        <w:t>w.e.f.</w:t>
      </w:r>
      <w:r>
        <w:rPr>
          <w:spacing w:val="-2"/>
        </w:rPr>
        <w:t> </w:t>
      </w:r>
      <w:r>
        <w:rPr/>
        <w:t>August</w:t>
      </w:r>
      <w:r>
        <w:rPr>
          <w:spacing w:val="-2"/>
        </w:rPr>
        <w:t> </w:t>
      </w:r>
      <w:r>
        <w:rPr/>
        <w:t>1,</w:t>
      </w:r>
      <w:r>
        <w:rPr>
          <w:spacing w:val="-2"/>
        </w:rPr>
        <w:t> </w:t>
      </w:r>
      <w:r>
        <w:rPr/>
        <w:t>2021.</w:t>
      </w:r>
    </w:p>
    <w:p>
      <w:pPr>
        <w:pStyle w:val="BodyText"/>
        <w:spacing w:line="249" w:lineRule="auto" w:before="123"/>
        <w:ind w:right="117"/>
        <w:jc w:val="both"/>
      </w:pPr>
      <w:r>
        <w:rPr/>
        <w:t>All members are advised to strictly adhere to the aforementioned requirements and put in place systems and procedures to ensure strict adherence to the</w:t>
      </w:r>
      <w:r>
        <w:rPr>
          <w:spacing w:val="1"/>
        </w:rPr>
        <w:t> </w:t>
      </w:r>
      <w:r>
        <w:rPr/>
        <w:t>timelines prescribed for settlement of running account of clients’ funds. Further, members should ensure to credit the settlement amount to the client bank</w:t>
      </w:r>
      <w:r>
        <w:rPr>
          <w:spacing w:val="1"/>
        </w:rPr>
        <w:t> </w:t>
      </w:r>
      <w:r>
        <w:rPr/>
        <w:t>account</w:t>
      </w:r>
      <w:r>
        <w:rPr>
          <w:spacing w:val="-2"/>
        </w:rPr>
        <w:t> </w:t>
      </w:r>
      <w:r>
        <w:rPr/>
        <w:t>directly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not</w:t>
      </w:r>
      <w:r>
        <w:rPr>
          <w:spacing w:val="-1"/>
        </w:rPr>
        <w:t> </w:t>
      </w:r>
      <w:r>
        <w:rPr/>
        <w:t>run</w:t>
      </w:r>
      <w:r>
        <w:rPr>
          <w:spacing w:val="-2"/>
        </w:rPr>
        <w:t> </w:t>
      </w:r>
      <w:r>
        <w:rPr/>
        <w:t>any</w:t>
      </w:r>
      <w:r>
        <w:rPr>
          <w:spacing w:val="-2"/>
        </w:rPr>
        <w:t> </w:t>
      </w:r>
      <w:r>
        <w:rPr/>
        <w:t>schemes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invest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actual</w:t>
      </w:r>
      <w:r>
        <w:rPr>
          <w:spacing w:val="-2"/>
        </w:rPr>
        <w:t> </w:t>
      </w:r>
      <w:r>
        <w:rPr/>
        <w:t>settlement</w:t>
      </w:r>
      <w:r>
        <w:rPr>
          <w:spacing w:val="-2"/>
        </w:rPr>
        <w:t> </w:t>
      </w:r>
      <w:r>
        <w:rPr/>
        <w:t>amount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consent/without</w:t>
      </w:r>
      <w:r>
        <w:rPr>
          <w:spacing w:val="-1"/>
        </w:rPr>
        <w:t> </w:t>
      </w:r>
      <w:r>
        <w:rPr/>
        <w:t>consent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client.</w:t>
      </w:r>
    </w:p>
    <w:p>
      <w:pPr>
        <w:pStyle w:val="BodyText"/>
        <w:spacing w:line="249" w:lineRule="auto" w:before="120"/>
        <w:ind w:right="116"/>
        <w:jc w:val="both"/>
      </w:pPr>
      <w:r>
        <w:rPr/>
        <w:t>Further, in the recent past, it has come to the notice of the Exchange that certain members were engaging into activities/schemes of fixed / periodic</w:t>
      </w:r>
      <w:r>
        <w:rPr>
          <w:spacing w:val="1"/>
        </w:rPr>
        <w:t> </w:t>
      </w:r>
      <w:r>
        <w:rPr/>
        <w:t>payments,</w:t>
      </w:r>
      <w:r>
        <w:rPr>
          <w:spacing w:val="-2"/>
        </w:rPr>
        <w:t> </w:t>
      </w:r>
      <w:r>
        <w:rPr/>
        <w:t>which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permitted</w:t>
      </w:r>
      <w:r>
        <w:rPr>
          <w:spacing w:val="-1"/>
        </w:rPr>
        <w:t> </w:t>
      </w:r>
      <w:r>
        <w:rPr/>
        <w:t>under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Byelaws,</w:t>
      </w:r>
      <w:r>
        <w:rPr>
          <w:spacing w:val="-2"/>
        </w:rPr>
        <w:t> </w:t>
      </w:r>
      <w:r>
        <w:rPr/>
        <w:t>Rules</w:t>
      </w:r>
      <w:r>
        <w:rPr>
          <w:spacing w:val="-2"/>
        </w:rPr>
        <w:t> </w:t>
      </w:r>
      <w:r>
        <w:rPr/>
        <w:t>&amp;</w:t>
      </w:r>
      <w:r>
        <w:rPr>
          <w:spacing w:val="-1"/>
        </w:rPr>
        <w:t> </w:t>
      </w:r>
      <w:r>
        <w:rPr/>
        <w:t>Regulations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circulars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SEBI/Exchanges.</w:t>
      </w:r>
    </w:p>
    <w:p>
      <w:pPr>
        <w:pStyle w:val="BodyText"/>
        <w:spacing w:line="249" w:lineRule="auto" w:before="119"/>
        <w:ind w:right="116"/>
        <w:jc w:val="both"/>
      </w:pPr>
      <w:r>
        <w:rPr/>
        <w:t>It is reiterated that members are not permitted to undertake any business/activity that is not allowed under the Byelaws, Rules &amp; Regulations and circulars</w:t>
      </w:r>
      <w:r>
        <w:rPr>
          <w:spacing w:val="1"/>
        </w:rPr>
        <w:t> </w:t>
      </w:r>
      <w:r>
        <w:rPr/>
        <w:t>of SEBI/Exchanges including operating any schemes of unauthorised collective investments/portfolio management, promising indicative/ guaranteed/fixed</w:t>
      </w:r>
      <w:r>
        <w:rPr>
          <w:spacing w:val="1"/>
        </w:rPr>
        <w:t> </w:t>
      </w:r>
      <w:r>
        <w:rPr/>
        <w:t>returns/payments</w:t>
      </w:r>
      <w:r>
        <w:rPr>
          <w:spacing w:val="-2"/>
        </w:rPr>
        <w:t> </w:t>
      </w:r>
      <w:r>
        <w:rPr/>
        <w:t>etc.</w:t>
      </w:r>
    </w:p>
    <w:p>
      <w:pPr>
        <w:pStyle w:val="BodyText"/>
        <w:spacing w:line="249" w:lineRule="auto" w:before="120"/>
        <w:ind w:right="111"/>
        <w:jc w:val="both"/>
      </w:pPr>
      <w:r>
        <w:rPr/>
        <w:t>Members are advised to regularly caution and create awareness amongst their clients/investors to abstain them from dealing in any schemes of</w:t>
      </w:r>
      <w:r>
        <w:rPr>
          <w:spacing w:val="1"/>
        </w:rPr>
        <w:t> </w:t>
      </w:r>
      <w:r>
        <w:rPr/>
        <w:t>unauthorised collective investments/portfolio management, indicative/ guaranteed/fixed returns / payments etc. Members are also advised to display the</w:t>
      </w:r>
      <w:r>
        <w:rPr>
          <w:spacing w:val="1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messages</w:t>
      </w:r>
      <w:r>
        <w:rPr>
          <w:spacing w:val="-1"/>
        </w:rPr>
        <w:t> </w:t>
      </w:r>
      <w:r>
        <w:rPr/>
        <w:t>on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respective</w:t>
      </w:r>
      <w:r>
        <w:rPr>
          <w:spacing w:val="-1"/>
        </w:rPr>
        <w:t> </w:t>
      </w:r>
      <w:r>
        <w:rPr/>
        <w:t>websites</w:t>
      </w:r>
      <w:r>
        <w:rPr>
          <w:spacing w:val="-2"/>
        </w:rPr>
        <w:t> </w:t>
      </w:r>
      <w:r>
        <w:rPr/>
        <w:t>under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separate</w:t>
      </w:r>
      <w:r>
        <w:rPr>
          <w:spacing w:val="-1"/>
        </w:rPr>
        <w:t> </w:t>
      </w:r>
      <w:r>
        <w:rPr/>
        <w:t>banner</w:t>
      </w:r>
      <w:r>
        <w:rPr>
          <w:spacing w:val="-1"/>
        </w:rPr>
        <w:t> </w:t>
      </w:r>
      <w:r>
        <w:rPr/>
        <w:t>“Advisory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investors”:</w:t>
      </w:r>
    </w:p>
    <w:p>
      <w:pPr>
        <w:pStyle w:val="BodyText"/>
        <w:ind w:left="0"/>
        <w:rPr>
          <w:sz w:val="26"/>
        </w:rPr>
      </w:pPr>
    </w:p>
    <w:p>
      <w:pPr>
        <w:pStyle w:val="Heading1"/>
        <w:spacing w:before="224"/>
        <w:jc w:val="both"/>
      </w:pPr>
      <w:r>
        <w:rPr/>
        <w:t>“Attention Investors!</w:t>
      </w:r>
    </w:p>
    <w:p>
      <w:pPr>
        <w:pStyle w:val="BodyText"/>
        <w:spacing w:line="249" w:lineRule="auto" w:before="128"/>
        <w:ind w:right="114"/>
        <w:jc w:val="both"/>
      </w:pPr>
      <w:r>
        <w:rPr>
          <w:color w:val="202528"/>
        </w:rPr>
        <w:t>§</w:t>
      </w:r>
      <w:r>
        <w:rPr>
          <w:color w:val="202528"/>
          <w:spacing w:val="1"/>
        </w:rPr>
        <w:t> </w:t>
      </w:r>
      <w:r>
        <w:rPr>
          <w:color w:val="202528"/>
        </w:rPr>
        <w:t>Beware of fixed/guaranteed/regular returns/ capital protection schemes. Brokers or their authorized persons or any of their associates are not authorized</w:t>
      </w:r>
      <w:r>
        <w:rPr>
          <w:color w:val="202528"/>
          <w:spacing w:val="-64"/>
        </w:rPr>
        <w:t> </w:t>
      </w:r>
      <w:r>
        <w:rPr>
          <w:color w:val="202528"/>
        </w:rPr>
        <w:t>to offer fixed/guaranteed/regular returns/ capital protection on your investment or authorized to enter into any loan agreement with you to pay interest on</w:t>
      </w:r>
      <w:r>
        <w:rPr>
          <w:color w:val="202528"/>
          <w:spacing w:val="1"/>
        </w:rPr>
        <w:t> </w:t>
      </w:r>
      <w:r>
        <w:rPr>
          <w:color w:val="202528"/>
        </w:rPr>
        <w:t>the funds offered by you. Please note that in case of default of a member claim for funds or securities given to the broker under any arrangement/</w:t>
      </w:r>
      <w:r>
        <w:rPr>
          <w:color w:val="202528"/>
          <w:spacing w:val="1"/>
        </w:rPr>
        <w:t> </w:t>
      </w:r>
      <w:r>
        <w:rPr>
          <w:color w:val="202528"/>
        </w:rPr>
        <w:t>agreement</w:t>
      </w:r>
      <w:r>
        <w:rPr>
          <w:color w:val="202528"/>
          <w:spacing w:val="-2"/>
        </w:rPr>
        <w:t> </w:t>
      </w:r>
      <w:r>
        <w:rPr>
          <w:color w:val="202528"/>
        </w:rPr>
        <w:t>of</w:t>
      </w:r>
      <w:r>
        <w:rPr>
          <w:color w:val="202528"/>
          <w:spacing w:val="-2"/>
        </w:rPr>
        <w:t> </w:t>
      </w:r>
      <w:r>
        <w:rPr>
          <w:color w:val="202528"/>
        </w:rPr>
        <w:t>indicative</w:t>
      </w:r>
      <w:r>
        <w:rPr>
          <w:color w:val="202528"/>
          <w:spacing w:val="-2"/>
        </w:rPr>
        <w:t> </w:t>
      </w:r>
      <w:r>
        <w:rPr>
          <w:color w:val="202528"/>
        </w:rPr>
        <w:t>return</w:t>
      </w:r>
      <w:r>
        <w:rPr>
          <w:color w:val="202528"/>
          <w:spacing w:val="-2"/>
        </w:rPr>
        <w:t> </w:t>
      </w:r>
      <w:r>
        <w:rPr>
          <w:color w:val="202528"/>
        </w:rPr>
        <w:t>will</w:t>
      </w:r>
      <w:r>
        <w:rPr>
          <w:color w:val="202528"/>
          <w:spacing w:val="-2"/>
        </w:rPr>
        <w:t> </w:t>
      </w:r>
      <w:r>
        <w:rPr>
          <w:color w:val="202528"/>
        </w:rPr>
        <w:t>not</w:t>
      </w:r>
      <w:r>
        <w:rPr>
          <w:color w:val="202528"/>
          <w:spacing w:val="-2"/>
        </w:rPr>
        <w:t> </w:t>
      </w:r>
      <w:r>
        <w:rPr>
          <w:color w:val="202528"/>
        </w:rPr>
        <w:t>be</w:t>
      </w:r>
      <w:r>
        <w:rPr>
          <w:color w:val="202528"/>
          <w:spacing w:val="-2"/>
        </w:rPr>
        <w:t> </w:t>
      </w:r>
      <w:r>
        <w:rPr>
          <w:color w:val="202528"/>
        </w:rPr>
        <w:t>accepted</w:t>
      </w:r>
      <w:r>
        <w:rPr>
          <w:color w:val="202528"/>
          <w:spacing w:val="-2"/>
        </w:rPr>
        <w:t> </w:t>
      </w:r>
      <w:r>
        <w:rPr>
          <w:color w:val="202528"/>
        </w:rPr>
        <w:t>by</w:t>
      </w:r>
      <w:r>
        <w:rPr>
          <w:color w:val="202528"/>
          <w:spacing w:val="-2"/>
        </w:rPr>
        <w:t> </w:t>
      </w:r>
      <w:r>
        <w:rPr>
          <w:color w:val="202528"/>
        </w:rPr>
        <w:t>the</w:t>
      </w:r>
      <w:r>
        <w:rPr>
          <w:color w:val="202528"/>
          <w:spacing w:val="-2"/>
        </w:rPr>
        <w:t> </w:t>
      </w:r>
      <w:r>
        <w:rPr>
          <w:color w:val="202528"/>
        </w:rPr>
        <w:t>relevant</w:t>
      </w:r>
      <w:r>
        <w:rPr>
          <w:color w:val="202528"/>
          <w:spacing w:val="-2"/>
        </w:rPr>
        <w:t> </w:t>
      </w:r>
      <w:r>
        <w:rPr>
          <w:color w:val="202528"/>
        </w:rPr>
        <w:t>Committee</w:t>
      </w:r>
      <w:r>
        <w:rPr>
          <w:color w:val="202528"/>
          <w:spacing w:val="-2"/>
        </w:rPr>
        <w:t> </w:t>
      </w:r>
      <w:r>
        <w:rPr>
          <w:color w:val="202528"/>
        </w:rPr>
        <w:t>of</w:t>
      </w:r>
      <w:r>
        <w:rPr>
          <w:color w:val="202528"/>
          <w:spacing w:val="-2"/>
        </w:rPr>
        <w:t> </w:t>
      </w:r>
      <w:r>
        <w:rPr>
          <w:color w:val="202528"/>
        </w:rPr>
        <w:t>the</w:t>
      </w:r>
      <w:r>
        <w:rPr>
          <w:color w:val="202528"/>
          <w:spacing w:val="-2"/>
        </w:rPr>
        <w:t> </w:t>
      </w:r>
      <w:r>
        <w:rPr>
          <w:color w:val="202528"/>
        </w:rPr>
        <w:t>Exchange</w:t>
      </w:r>
      <w:r>
        <w:rPr>
          <w:color w:val="202528"/>
          <w:spacing w:val="-2"/>
        </w:rPr>
        <w:t> </w:t>
      </w:r>
      <w:r>
        <w:rPr>
          <w:color w:val="202528"/>
        </w:rPr>
        <w:t>as</w:t>
      </w:r>
      <w:r>
        <w:rPr>
          <w:color w:val="202528"/>
          <w:spacing w:val="-2"/>
        </w:rPr>
        <w:t> </w:t>
      </w:r>
      <w:r>
        <w:rPr>
          <w:color w:val="202528"/>
        </w:rPr>
        <w:t>per</w:t>
      </w:r>
      <w:r>
        <w:rPr>
          <w:color w:val="202528"/>
          <w:spacing w:val="-2"/>
        </w:rPr>
        <w:t> </w:t>
      </w:r>
      <w:r>
        <w:rPr>
          <w:color w:val="202528"/>
        </w:rPr>
        <w:t>the</w:t>
      </w:r>
      <w:r>
        <w:rPr>
          <w:color w:val="202528"/>
          <w:spacing w:val="-2"/>
        </w:rPr>
        <w:t> </w:t>
      </w:r>
      <w:r>
        <w:rPr>
          <w:color w:val="202528"/>
        </w:rPr>
        <w:t>approved</w:t>
      </w:r>
      <w:r>
        <w:rPr>
          <w:color w:val="202528"/>
          <w:spacing w:val="-2"/>
        </w:rPr>
        <w:t> </w:t>
      </w:r>
      <w:r>
        <w:rPr>
          <w:color w:val="202528"/>
        </w:rPr>
        <w:t>norms.</w:t>
      </w:r>
    </w:p>
    <w:p>
      <w:pPr>
        <w:pStyle w:val="BodyText"/>
        <w:spacing w:line="249" w:lineRule="auto" w:before="122"/>
        <w:ind w:right="115"/>
        <w:jc w:val="both"/>
      </w:pPr>
      <w:r>
        <w:rPr>
          <w:color w:val="202528"/>
        </w:rPr>
        <w:t>§</w:t>
      </w:r>
      <w:r>
        <w:rPr>
          <w:color w:val="202528"/>
          <w:spacing w:val="1"/>
        </w:rPr>
        <w:t> </w:t>
      </w:r>
      <w:r>
        <w:rPr>
          <w:color w:val="202528"/>
        </w:rPr>
        <w:t>Do not keep funds idle with the Stock Broker. </w:t>
      </w:r>
      <w:r>
        <w:rPr/>
        <w:t>Please note that your stock broker has to return the credit balance lying with them, within three working</w:t>
      </w:r>
      <w:r>
        <w:rPr>
          <w:spacing w:val="1"/>
        </w:rPr>
        <w:t> </w:t>
      </w:r>
      <w:r>
        <w:rPr/>
        <w:t>days in case you have not done any transaction within last 30 calendar days</w:t>
      </w:r>
      <w:r>
        <w:rPr>
          <w:color w:val="FF0000"/>
        </w:rPr>
        <w:t>. </w:t>
      </w:r>
      <w:r>
        <w:rPr>
          <w:color w:val="202528"/>
        </w:rPr>
        <w:t>Please note that in case of default of a Member, claim for funds and</w:t>
      </w:r>
      <w:r>
        <w:rPr>
          <w:color w:val="202528"/>
          <w:spacing w:val="1"/>
        </w:rPr>
        <w:t> </w:t>
      </w:r>
      <w:r>
        <w:rPr>
          <w:color w:val="202528"/>
        </w:rPr>
        <w:t>securities,</w:t>
      </w:r>
      <w:r>
        <w:rPr>
          <w:color w:val="202528"/>
          <w:spacing w:val="-3"/>
        </w:rPr>
        <w:t> </w:t>
      </w:r>
      <w:r>
        <w:rPr>
          <w:color w:val="202528"/>
        </w:rPr>
        <w:t>without</w:t>
      </w:r>
      <w:r>
        <w:rPr>
          <w:color w:val="202528"/>
          <w:spacing w:val="-3"/>
        </w:rPr>
        <w:t> </w:t>
      </w:r>
      <w:r>
        <w:rPr>
          <w:color w:val="202528"/>
        </w:rPr>
        <w:t>any</w:t>
      </w:r>
      <w:r>
        <w:rPr>
          <w:color w:val="202528"/>
          <w:spacing w:val="-3"/>
        </w:rPr>
        <w:t> </w:t>
      </w:r>
      <w:r>
        <w:rPr>
          <w:color w:val="202528"/>
        </w:rPr>
        <w:t>transaction</w:t>
      </w:r>
      <w:r>
        <w:rPr>
          <w:color w:val="202528"/>
          <w:spacing w:val="-3"/>
        </w:rPr>
        <w:t> </w:t>
      </w:r>
      <w:r>
        <w:rPr>
          <w:color w:val="202528"/>
        </w:rPr>
        <w:t>on</w:t>
      </w:r>
      <w:r>
        <w:rPr>
          <w:color w:val="202528"/>
          <w:spacing w:val="-3"/>
        </w:rPr>
        <w:t> </w:t>
      </w:r>
      <w:r>
        <w:rPr>
          <w:color w:val="202528"/>
        </w:rPr>
        <w:t>the</w:t>
      </w:r>
      <w:r>
        <w:rPr>
          <w:color w:val="202528"/>
          <w:spacing w:val="-3"/>
        </w:rPr>
        <w:t> </w:t>
      </w:r>
      <w:r>
        <w:rPr>
          <w:color w:val="202528"/>
        </w:rPr>
        <w:t>exchange</w:t>
      </w:r>
      <w:r>
        <w:rPr>
          <w:color w:val="202528"/>
          <w:spacing w:val="-3"/>
        </w:rPr>
        <w:t> </w:t>
      </w:r>
      <w:r>
        <w:rPr>
          <w:color w:val="202528"/>
        </w:rPr>
        <w:t>will</w:t>
      </w:r>
      <w:r>
        <w:rPr>
          <w:color w:val="202528"/>
          <w:spacing w:val="-3"/>
        </w:rPr>
        <w:t> </w:t>
      </w:r>
      <w:r>
        <w:rPr>
          <w:color w:val="202528"/>
        </w:rPr>
        <w:t>not</w:t>
      </w:r>
      <w:r>
        <w:rPr>
          <w:color w:val="202528"/>
          <w:spacing w:val="-3"/>
        </w:rPr>
        <w:t> </w:t>
      </w:r>
      <w:r>
        <w:rPr>
          <w:color w:val="202528"/>
        </w:rPr>
        <w:t>be</w:t>
      </w:r>
      <w:r>
        <w:rPr>
          <w:color w:val="202528"/>
          <w:spacing w:val="-3"/>
        </w:rPr>
        <w:t> </w:t>
      </w:r>
      <w:r>
        <w:rPr>
          <w:color w:val="202528"/>
        </w:rPr>
        <w:t>accepted</w:t>
      </w:r>
      <w:r>
        <w:rPr>
          <w:color w:val="202528"/>
          <w:spacing w:val="-3"/>
        </w:rPr>
        <w:t> </w:t>
      </w:r>
      <w:r>
        <w:rPr>
          <w:color w:val="202528"/>
        </w:rPr>
        <w:t>by</w:t>
      </w:r>
      <w:r>
        <w:rPr>
          <w:color w:val="202528"/>
          <w:spacing w:val="-3"/>
        </w:rPr>
        <w:t> </w:t>
      </w:r>
      <w:r>
        <w:rPr>
          <w:color w:val="202528"/>
        </w:rPr>
        <w:t>the</w:t>
      </w:r>
      <w:r>
        <w:rPr>
          <w:color w:val="202528"/>
          <w:spacing w:val="-3"/>
        </w:rPr>
        <w:t> </w:t>
      </w:r>
      <w:r>
        <w:rPr>
          <w:color w:val="202528"/>
        </w:rPr>
        <w:t>relevant</w:t>
      </w:r>
      <w:r>
        <w:rPr>
          <w:color w:val="202528"/>
          <w:spacing w:val="-3"/>
        </w:rPr>
        <w:t> </w:t>
      </w:r>
      <w:r>
        <w:rPr>
          <w:color w:val="202528"/>
        </w:rPr>
        <w:t>Committee</w:t>
      </w:r>
      <w:r>
        <w:rPr>
          <w:color w:val="202528"/>
          <w:spacing w:val="-3"/>
        </w:rPr>
        <w:t> </w:t>
      </w:r>
      <w:r>
        <w:rPr>
          <w:color w:val="202528"/>
        </w:rPr>
        <w:t>of</w:t>
      </w:r>
      <w:r>
        <w:rPr>
          <w:color w:val="202528"/>
          <w:spacing w:val="-3"/>
        </w:rPr>
        <w:t> </w:t>
      </w:r>
      <w:r>
        <w:rPr>
          <w:color w:val="202528"/>
        </w:rPr>
        <w:t>the</w:t>
      </w:r>
      <w:r>
        <w:rPr>
          <w:color w:val="202528"/>
          <w:spacing w:val="-3"/>
        </w:rPr>
        <w:t> </w:t>
      </w:r>
      <w:r>
        <w:rPr>
          <w:color w:val="202528"/>
        </w:rPr>
        <w:t>Exchange</w:t>
      </w:r>
      <w:r>
        <w:rPr>
          <w:color w:val="202528"/>
          <w:spacing w:val="-2"/>
        </w:rPr>
        <w:t> </w:t>
      </w:r>
      <w:r>
        <w:rPr>
          <w:color w:val="202528"/>
        </w:rPr>
        <w:t>as</w:t>
      </w:r>
      <w:r>
        <w:rPr>
          <w:color w:val="202528"/>
          <w:spacing w:val="-3"/>
        </w:rPr>
        <w:t> </w:t>
      </w:r>
      <w:r>
        <w:rPr>
          <w:color w:val="202528"/>
        </w:rPr>
        <w:t>per</w:t>
      </w:r>
      <w:r>
        <w:rPr>
          <w:color w:val="202528"/>
          <w:spacing w:val="-3"/>
        </w:rPr>
        <w:t> </w:t>
      </w:r>
      <w:r>
        <w:rPr>
          <w:color w:val="202528"/>
        </w:rPr>
        <w:t>the</w:t>
      </w:r>
      <w:r>
        <w:rPr>
          <w:color w:val="202528"/>
          <w:spacing w:val="-3"/>
        </w:rPr>
        <w:t> </w:t>
      </w:r>
      <w:r>
        <w:rPr>
          <w:color w:val="202528"/>
        </w:rPr>
        <w:t>approved</w:t>
      </w:r>
      <w:r>
        <w:rPr>
          <w:color w:val="202528"/>
          <w:spacing w:val="-3"/>
        </w:rPr>
        <w:t> </w:t>
      </w:r>
      <w:r>
        <w:rPr>
          <w:color w:val="202528"/>
        </w:rPr>
        <w:t>norms.</w:t>
      </w:r>
    </w:p>
    <w:p>
      <w:pPr>
        <w:pStyle w:val="BodyText"/>
        <w:spacing w:line="249" w:lineRule="auto" w:before="120"/>
        <w:ind w:right="115"/>
        <w:jc w:val="both"/>
      </w:pPr>
      <w:r>
        <w:rPr>
          <w:color w:val="202528"/>
        </w:rPr>
        <w:t>§</w:t>
      </w:r>
      <w:r>
        <w:rPr>
          <w:color w:val="202528"/>
          <w:spacing w:val="1"/>
        </w:rPr>
        <w:t> </w:t>
      </w:r>
      <w:r>
        <w:rPr>
          <w:color w:val="202528"/>
        </w:rPr>
        <w:t>Check the frequency of accounts settlement opted for. If you have opted for running account, please ensure that your broker settles your account and, in</w:t>
      </w:r>
      <w:r>
        <w:rPr>
          <w:color w:val="202528"/>
          <w:spacing w:val="-64"/>
        </w:rPr>
        <w:t> </w:t>
      </w:r>
      <w:r>
        <w:rPr>
          <w:color w:val="202528"/>
        </w:rPr>
        <w:t>any case, not later than once in 90 days (or 30 days if you have opted for 30 days settlement). In case of declaration of trading member as defaulter, the</w:t>
      </w:r>
      <w:r>
        <w:rPr>
          <w:color w:val="202528"/>
          <w:spacing w:val="1"/>
        </w:rPr>
        <w:t> </w:t>
      </w:r>
      <w:r>
        <w:rPr>
          <w:color w:val="202528"/>
        </w:rPr>
        <w:t>claims of clients against such defaulter member would be subject to norms for eligibility of claims for compensation from IPF to the clients of the defaulter</w:t>
      </w:r>
      <w:r>
        <w:rPr>
          <w:color w:val="202528"/>
          <w:spacing w:val="1"/>
        </w:rPr>
        <w:t> </w:t>
      </w:r>
      <w:r>
        <w:rPr>
          <w:color w:val="202528"/>
        </w:rPr>
        <w:t>member.</w:t>
      </w:r>
      <w:r>
        <w:rPr>
          <w:color w:val="202528"/>
          <w:spacing w:val="-2"/>
        </w:rPr>
        <w:t> </w:t>
      </w:r>
      <w:r>
        <w:rPr>
          <w:color w:val="202528"/>
        </w:rPr>
        <w:t>These</w:t>
      </w:r>
      <w:r>
        <w:rPr>
          <w:color w:val="202528"/>
          <w:spacing w:val="-1"/>
        </w:rPr>
        <w:t> </w:t>
      </w:r>
      <w:r>
        <w:rPr>
          <w:color w:val="202528"/>
        </w:rPr>
        <w:t>norms</w:t>
      </w:r>
      <w:r>
        <w:rPr>
          <w:color w:val="202528"/>
          <w:spacing w:val="-1"/>
        </w:rPr>
        <w:t> </w:t>
      </w:r>
      <w:r>
        <w:rPr>
          <w:color w:val="202528"/>
        </w:rPr>
        <w:t>are</w:t>
      </w:r>
      <w:r>
        <w:rPr>
          <w:color w:val="202528"/>
          <w:spacing w:val="-2"/>
        </w:rPr>
        <w:t> </w:t>
      </w:r>
      <w:r>
        <w:rPr>
          <w:color w:val="202528"/>
        </w:rPr>
        <w:t>available</w:t>
      </w:r>
      <w:r>
        <w:rPr>
          <w:color w:val="202528"/>
          <w:spacing w:val="-1"/>
        </w:rPr>
        <w:t> </w:t>
      </w:r>
      <w:r>
        <w:rPr>
          <w:color w:val="202528"/>
        </w:rPr>
        <w:t>on</w:t>
      </w:r>
      <w:r>
        <w:rPr>
          <w:color w:val="202528"/>
          <w:spacing w:val="-1"/>
        </w:rPr>
        <w:t> </w:t>
      </w:r>
      <w:r>
        <w:rPr>
          <w:color w:val="202528"/>
        </w:rPr>
        <w:t>Exchange</w:t>
      </w:r>
      <w:r>
        <w:rPr>
          <w:color w:val="202528"/>
          <w:spacing w:val="-2"/>
        </w:rPr>
        <w:t> </w:t>
      </w:r>
      <w:r>
        <w:rPr>
          <w:color w:val="202528"/>
        </w:rPr>
        <w:t>website</w:t>
      </w:r>
      <w:r>
        <w:rPr>
          <w:color w:val="202528"/>
          <w:spacing w:val="-1"/>
        </w:rPr>
        <w:t> </w:t>
      </w:r>
      <w:r>
        <w:rPr>
          <w:color w:val="202528"/>
        </w:rPr>
        <w:t>at</w:t>
      </w:r>
      <w:r>
        <w:rPr>
          <w:color w:val="202528"/>
          <w:spacing w:val="-1"/>
        </w:rPr>
        <w:t> </w:t>
      </w:r>
      <w:r>
        <w:rPr>
          <w:color w:val="202528"/>
        </w:rPr>
        <w:t>following</w:t>
      </w:r>
      <w:r>
        <w:rPr>
          <w:color w:val="202528"/>
          <w:spacing w:val="-2"/>
        </w:rPr>
        <w:t> </w:t>
      </w:r>
      <w:r>
        <w:rPr>
          <w:color w:val="202528"/>
        </w:rPr>
        <w:t>link:</w:t>
      </w:r>
    </w:p>
    <w:p>
      <w:pPr>
        <w:pStyle w:val="BodyText"/>
        <w:spacing w:before="121"/>
      </w:pPr>
      <w:hyperlink r:id="rId5">
        <w:r>
          <w:rPr>
            <w:color w:val="0000FF"/>
            <w:u w:val="single" w:color="0000FF"/>
          </w:rPr>
          <w:t>https://www.bseindia.com/static/investors/Claim_against_Defaulter.aspx</w:t>
        </w:r>
      </w:hyperlink>
    </w:p>
    <w:p>
      <w:pPr>
        <w:pStyle w:val="BodyText"/>
        <w:spacing w:line="249" w:lineRule="auto" w:before="129"/>
        <w:ind w:right="115"/>
        <w:jc w:val="both"/>
      </w:pPr>
      <w:r>
        <w:rPr>
          <w:color w:val="202528"/>
        </w:rPr>
        <w:t>§ Brokers are not permitted to accept transfer of securities as margin. Securities offered as margin/ collateral MUST remain in the account of the client and</w:t>
      </w:r>
      <w:r>
        <w:rPr>
          <w:color w:val="202528"/>
          <w:spacing w:val="-64"/>
        </w:rPr>
        <w:t> </w:t>
      </w:r>
      <w:r>
        <w:rPr>
          <w:color w:val="202528"/>
        </w:rPr>
        <w:t>can be pledged to the broker only by way of ‘margin pledge’, created in the Depository system. Clients are not permitted to place any securities with the</w:t>
      </w:r>
      <w:r>
        <w:rPr>
          <w:color w:val="202528"/>
          <w:spacing w:val="1"/>
        </w:rPr>
        <w:t> </w:t>
      </w:r>
      <w:r>
        <w:rPr>
          <w:color w:val="202528"/>
        </w:rPr>
        <w:t>broker or associate of the broker or authorized person of the broker for any reason. Broker can take securities belonging to clients only for settlement of</w:t>
      </w:r>
      <w:r>
        <w:rPr>
          <w:color w:val="202528"/>
          <w:spacing w:val="1"/>
        </w:rPr>
        <w:t> </w:t>
      </w:r>
      <w:r>
        <w:rPr>
          <w:color w:val="202528"/>
        </w:rPr>
        <w:t>securities</w:t>
      </w:r>
      <w:r>
        <w:rPr>
          <w:color w:val="202528"/>
          <w:spacing w:val="-2"/>
        </w:rPr>
        <w:t> </w:t>
      </w:r>
      <w:r>
        <w:rPr>
          <w:color w:val="202528"/>
        </w:rPr>
        <w:t>sold</w:t>
      </w:r>
      <w:r>
        <w:rPr>
          <w:color w:val="202528"/>
          <w:spacing w:val="-1"/>
        </w:rPr>
        <w:t> </w:t>
      </w:r>
      <w:r>
        <w:rPr>
          <w:color w:val="202528"/>
        </w:rPr>
        <w:t>by</w:t>
      </w:r>
      <w:r>
        <w:rPr>
          <w:color w:val="202528"/>
          <w:spacing w:val="-1"/>
        </w:rPr>
        <w:t> </w:t>
      </w:r>
      <w:r>
        <w:rPr>
          <w:color w:val="202528"/>
        </w:rPr>
        <w:t>the</w:t>
      </w:r>
      <w:r>
        <w:rPr>
          <w:color w:val="202528"/>
          <w:spacing w:val="-1"/>
        </w:rPr>
        <w:t> </w:t>
      </w:r>
      <w:r>
        <w:rPr>
          <w:color w:val="202528"/>
        </w:rPr>
        <w:t>client.</w:t>
      </w:r>
    </w:p>
    <w:p>
      <w:pPr>
        <w:pStyle w:val="BodyText"/>
        <w:spacing w:line="249" w:lineRule="auto" w:before="121"/>
        <w:ind w:right="114"/>
        <w:jc w:val="both"/>
      </w:pPr>
      <w:r>
        <w:rPr>
          <w:color w:val="202528"/>
        </w:rPr>
        <w:t>§</w:t>
      </w:r>
      <w:r>
        <w:rPr>
          <w:color w:val="202528"/>
          <w:spacing w:val="1"/>
        </w:rPr>
        <w:t> </w:t>
      </w:r>
      <w:r>
        <w:rPr>
          <w:color w:val="202528"/>
        </w:rPr>
        <w:t>Always keep your contact details viz. Mobile number/Email ID updated with the stock broker. Email and mobile number is mandatory and you must</w:t>
      </w:r>
      <w:r>
        <w:rPr>
          <w:color w:val="202528"/>
          <w:spacing w:val="1"/>
        </w:rPr>
        <w:t> </w:t>
      </w:r>
      <w:r>
        <w:rPr>
          <w:color w:val="202528"/>
        </w:rPr>
        <w:t>provide the same to your broker for updation in Exchange records. You must immediately take up the matter with Stock Broker/Exchange if you are not</w:t>
      </w:r>
      <w:r>
        <w:rPr>
          <w:color w:val="202528"/>
          <w:spacing w:val="1"/>
        </w:rPr>
        <w:t> </w:t>
      </w:r>
      <w:r>
        <w:rPr>
          <w:color w:val="202528"/>
        </w:rPr>
        <w:t>receiving</w:t>
      </w:r>
      <w:r>
        <w:rPr>
          <w:color w:val="202528"/>
          <w:spacing w:val="-2"/>
        </w:rPr>
        <w:t> </w:t>
      </w:r>
      <w:r>
        <w:rPr>
          <w:color w:val="202528"/>
        </w:rPr>
        <w:t>the</w:t>
      </w:r>
      <w:r>
        <w:rPr>
          <w:color w:val="202528"/>
          <w:spacing w:val="-1"/>
        </w:rPr>
        <w:t> </w:t>
      </w:r>
      <w:r>
        <w:rPr>
          <w:color w:val="202528"/>
        </w:rPr>
        <w:t>messages</w:t>
      </w:r>
      <w:r>
        <w:rPr>
          <w:color w:val="202528"/>
          <w:spacing w:val="-1"/>
        </w:rPr>
        <w:t> </w:t>
      </w:r>
      <w:r>
        <w:rPr>
          <w:color w:val="202528"/>
        </w:rPr>
        <w:t>from</w:t>
      </w:r>
      <w:r>
        <w:rPr>
          <w:color w:val="202528"/>
          <w:spacing w:val="-1"/>
        </w:rPr>
        <w:t> </w:t>
      </w:r>
      <w:r>
        <w:rPr>
          <w:color w:val="202528"/>
        </w:rPr>
        <w:t>Exchange/Depositories</w:t>
      </w:r>
      <w:r>
        <w:rPr>
          <w:color w:val="202528"/>
          <w:spacing w:val="-1"/>
        </w:rPr>
        <w:t> </w:t>
      </w:r>
      <w:r>
        <w:rPr>
          <w:color w:val="202528"/>
        </w:rPr>
        <w:t>regularly.</w:t>
      </w:r>
    </w:p>
    <w:p>
      <w:pPr>
        <w:pStyle w:val="BodyText"/>
        <w:spacing w:line="249" w:lineRule="auto" w:before="121"/>
        <w:ind w:right="116"/>
        <w:jc w:val="both"/>
      </w:pPr>
      <w:r>
        <w:rPr>
          <w:color w:val="202528"/>
        </w:rPr>
        <w:t>§</w:t>
      </w:r>
      <w:r>
        <w:rPr>
          <w:color w:val="202528"/>
          <w:spacing w:val="1"/>
        </w:rPr>
        <w:t> </w:t>
      </w:r>
      <w:r>
        <w:rPr>
          <w:color w:val="202528"/>
        </w:rPr>
        <w:t>Don't ignore any emails/SMSs received from the Exchange for trades done by you. Verify the same with the Contract notes/Statement of accounts</w:t>
      </w:r>
      <w:r>
        <w:rPr>
          <w:color w:val="202528"/>
          <w:spacing w:val="1"/>
        </w:rPr>
        <w:t> </w:t>
      </w:r>
      <w:r>
        <w:rPr>
          <w:color w:val="202528"/>
        </w:rPr>
        <w:t>received</w:t>
      </w:r>
      <w:r>
        <w:rPr>
          <w:color w:val="202528"/>
          <w:spacing w:val="10"/>
        </w:rPr>
        <w:t> </w:t>
      </w:r>
      <w:r>
        <w:rPr>
          <w:color w:val="202528"/>
        </w:rPr>
        <w:t>from</w:t>
      </w:r>
      <w:r>
        <w:rPr>
          <w:color w:val="202528"/>
          <w:spacing w:val="10"/>
        </w:rPr>
        <w:t> </w:t>
      </w:r>
      <w:r>
        <w:rPr>
          <w:color w:val="202528"/>
        </w:rPr>
        <w:t>your</w:t>
      </w:r>
      <w:r>
        <w:rPr>
          <w:color w:val="202528"/>
          <w:spacing w:val="10"/>
        </w:rPr>
        <w:t> </w:t>
      </w:r>
      <w:r>
        <w:rPr>
          <w:color w:val="202528"/>
        </w:rPr>
        <w:t>broker</w:t>
      </w:r>
      <w:r>
        <w:rPr>
          <w:color w:val="202528"/>
          <w:spacing w:val="10"/>
        </w:rPr>
        <w:t> </w:t>
      </w:r>
      <w:r>
        <w:rPr>
          <w:color w:val="202528"/>
        </w:rPr>
        <w:t>and</w:t>
      </w:r>
      <w:r>
        <w:rPr>
          <w:color w:val="202528"/>
          <w:spacing w:val="10"/>
        </w:rPr>
        <w:t> </w:t>
      </w:r>
      <w:r>
        <w:rPr>
          <w:color w:val="202528"/>
        </w:rPr>
        <w:t>report</w:t>
      </w:r>
      <w:r>
        <w:rPr>
          <w:color w:val="202528"/>
          <w:spacing w:val="10"/>
        </w:rPr>
        <w:t> </w:t>
      </w:r>
      <w:r>
        <w:rPr>
          <w:color w:val="202528"/>
        </w:rPr>
        <w:t>discrepancy,</w:t>
      </w:r>
      <w:r>
        <w:rPr>
          <w:color w:val="202528"/>
          <w:spacing w:val="10"/>
        </w:rPr>
        <w:t> </w:t>
      </w:r>
      <w:r>
        <w:rPr>
          <w:color w:val="202528"/>
        </w:rPr>
        <w:t>if</w:t>
      </w:r>
      <w:r>
        <w:rPr>
          <w:color w:val="202528"/>
          <w:spacing w:val="10"/>
        </w:rPr>
        <w:t> </w:t>
      </w:r>
      <w:r>
        <w:rPr>
          <w:color w:val="202528"/>
        </w:rPr>
        <w:t>any,</w:t>
      </w:r>
      <w:r>
        <w:rPr>
          <w:color w:val="202528"/>
          <w:spacing w:val="10"/>
        </w:rPr>
        <w:t> </w:t>
      </w:r>
      <w:r>
        <w:rPr>
          <w:color w:val="202528"/>
        </w:rPr>
        <w:t>to</w:t>
      </w:r>
      <w:r>
        <w:rPr>
          <w:color w:val="202528"/>
          <w:spacing w:val="10"/>
        </w:rPr>
        <w:t> </w:t>
      </w:r>
      <w:r>
        <w:rPr>
          <w:color w:val="202528"/>
        </w:rPr>
        <w:t>your</w:t>
      </w:r>
      <w:r>
        <w:rPr>
          <w:color w:val="202528"/>
          <w:spacing w:val="10"/>
        </w:rPr>
        <w:t> </w:t>
      </w:r>
      <w:r>
        <w:rPr>
          <w:color w:val="202528"/>
        </w:rPr>
        <w:t>broker</w:t>
      </w:r>
      <w:r>
        <w:rPr>
          <w:color w:val="202528"/>
          <w:spacing w:val="10"/>
        </w:rPr>
        <w:t> </w:t>
      </w:r>
      <w:r>
        <w:rPr>
          <w:color w:val="202528"/>
        </w:rPr>
        <w:t>in</w:t>
      </w:r>
      <w:r>
        <w:rPr>
          <w:color w:val="202528"/>
          <w:spacing w:val="10"/>
        </w:rPr>
        <w:t> </w:t>
      </w:r>
      <w:r>
        <w:rPr>
          <w:color w:val="202528"/>
        </w:rPr>
        <w:t>writing</w:t>
      </w:r>
      <w:r>
        <w:rPr>
          <w:color w:val="202528"/>
          <w:spacing w:val="10"/>
        </w:rPr>
        <w:t> </w:t>
      </w:r>
      <w:r>
        <w:rPr>
          <w:color w:val="202528"/>
        </w:rPr>
        <w:t>immediately</w:t>
      </w:r>
      <w:r>
        <w:rPr>
          <w:color w:val="202528"/>
          <w:spacing w:val="10"/>
        </w:rPr>
        <w:t> </w:t>
      </w:r>
      <w:r>
        <w:rPr>
          <w:color w:val="202528"/>
        </w:rPr>
        <w:t>and</w:t>
      </w:r>
      <w:r>
        <w:rPr>
          <w:color w:val="202528"/>
          <w:spacing w:val="10"/>
        </w:rPr>
        <w:t> </w:t>
      </w:r>
      <w:r>
        <w:rPr>
          <w:color w:val="202528"/>
        </w:rPr>
        <w:t>if</w:t>
      </w:r>
      <w:r>
        <w:rPr>
          <w:color w:val="202528"/>
          <w:spacing w:val="10"/>
        </w:rPr>
        <w:t> </w:t>
      </w:r>
      <w:r>
        <w:rPr>
          <w:color w:val="202528"/>
        </w:rPr>
        <w:t>the</w:t>
      </w:r>
      <w:r>
        <w:rPr>
          <w:color w:val="202528"/>
          <w:spacing w:val="10"/>
        </w:rPr>
        <w:t> </w:t>
      </w:r>
      <w:r>
        <w:rPr>
          <w:color w:val="202528"/>
        </w:rPr>
        <w:t>Stock</w:t>
      </w:r>
      <w:r>
        <w:rPr>
          <w:color w:val="202528"/>
          <w:spacing w:val="10"/>
        </w:rPr>
        <w:t> </w:t>
      </w:r>
      <w:r>
        <w:rPr>
          <w:color w:val="202528"/>
        </w:rPr>
        <w:t>Broker</w:t>
      </w:r>
      <w:r>
        <w:rPr>
          <w:color w:val="202528"/>
          <w:spacing w:val="11"/>
        </w:rPr>
        <w:t> </w:t>
      </w:r>
      <w:r>
        <w:rPr>
          <w:color w:val="202528"/>
        </w:rPr>
        <w:t>does</w:t>
      </w:r>
      <w:r>
        <w:rPr>
          <w:color w:val="202528"/>
          <w:spacing w:val="10"/>
        </w:rPr>
        <w:t> </w:t>
      </w:r>
      <w:r>
        <w:rPr>
          <w:color w:val="202528"/>
        </w:rPr>
        <w:t>not</w:t>
      </w:r>
      <w:r>
        <w:rPr>
          <w:color w:val="202528"/>
          <w:spacing w:val="10"/>
        </w:rPr>
        <w:t> </w:t>
      </w:r>
      <w:r>
        <w:rPr>
          <w:color w:val="202528"/>
        </w:rPr>
        <w:t>respond,</w:t>
      </w:r>
      <w:r>
        <w:rPr>
          <w:color w:val="202528"/>
          <w:spacing w:val="10"/>
        </w:rPr>
        <w:t> </w:t>
      </w:r>
      <w:r>
        <w:rPr>
          <w:color w:val="202528"/>
        </w:rPr>
        <w:t>please</w:t>
      </w:r>
      <w:r>
        <w:rPr>
          <w:color w:val="202528"/>
          <w:spacing w:val="10"/>
        </w:rPr>
        <w:t> </w:t>
      </w:r>
      <w:r>
        <w:rPr>
          <w:color w:val="202528"/>
        </w:rPr>
        <w:t>take</w:t>
      </w:r>
      <w:r>
        <w:rPr>
          <w:color w:val="202528"/>
          <w:spacing w:val="10"/>
        </w:rPr>
        <w:t> </w:t>
      </w:r>
      <w:r>
        <w:rPr>
          <w:color w:val="202528"/>
        </w:rPr>
        <w:t>this</w:t>
      </w:r>
      <w:r>
        <w:rPr>
          <w:color w:val="202528"/>
          <w:spacing w:val="-64"/>
        </w:rPr>
        <w:t> </w:t>
      </w:r>
      <w:r>
        <w:rPr>
          <w:color w:val="202528"/>
        </w:rPr>
        <w:t>up</w:t>
      </w:r>
      <w:r>
        <w:rPr>
          <w:color w:val="202528"/>
          <w:spacing w:val="-2"/>
        </w:rPr>
        <w:t> </w:t>
      </w:r>
      <w:r>
        <w:rPr>
          <w:color w:val="202528"/>
        </w:rPr>
        <w:t>with</w:t>
      </w:r>
      <w:r>
        <w:rPr>
          <w:color w:val="202528"/>
          <w:spacing w:val="-1"/>
        </w:rPr>
        <w:t> </w:t>
      </w:r>
      <w:r>
        <w:rPr>
          <w:color w:val="202528"/>
        </w:rPr>
        <w:t>the</w:t>
      </w:r>
      <w:r>
        <w:rPr>
          <w:color w:val="202528"/>
          <w:spacing w:val="-1"/>
        </w:rPr>
        <w:t> </w:t>
      </w:r>
      <w:r>
        <w:rPr>
          <w:color w:val="202528"/>
        </w:rPr>
        <w:t>Exchange/Depositories</w:t>
      </w:r>
      <w:r>
        <w:rPr>
          <w:color w:val="202528"/>
          <w:spacing w:val="-1"/>
        </w:rPr>
        <w:t> </w:t>
      </w:r>
      <w:r>
        <w:rPr>
          <w:color w:val="202528"/>
        </w:rPr>
        <w:t>forthwith.</w:t>
      </w:r>
    </w:p>
    <w:p>
      <w:pPr>
        <w:pStyle w:val="BodyText"/>
        <w:spacing w:line="249" w:lineRule="auto" w:before="120"/>
        <w:ind w:right="118"/>
        <w:jc w:val="both"/>
      </w:pPr>
      <w:r>
        <w:rPr>
          <w:color w:val="202528"/>
        </w:rPr>
        <w:t>§</w:t>
      </w:r>
      <w:r>
        <w:rPr>
          <w:color w:val="202528"/>
          <w:spacing w:val="1"/>
        </w:rPr>
        <w:t> </w:t>
      </w:r>
      <w:r>
        <w:rPr>
          <w:color w:val="202528"/>
        </w:rPr>
        <w:t>Check messages sent by Exchanges on a weekly basis regarding funds and securities balances reported by the trading member, compare it with the</w:t>
      </w:r>
      <w:r>
        <w:rPr>
          <w:color w:val="202528"/>
          <w:spacing w:val="1"/>
        </w:rPr>
        <w:t> </w:t>
      </w:r>
      <w:r>
        <w:rPr>
          <w:color w:val="202528"/>
        </w:rPr>
        <w:t>weekly</w:t>
      </w:r>
      <w:r>
        <w:rPr>
          <w:color w:val="202528"/>
          <w:spacing w:val="-2"/>
        </w:rPr>
        <w:t> </w:t>
      </w:r>
      <w:r>
        <w:rPr>
          <w:color w:val="202528"/>
        </w:rPr>
        <w:t>statement</w:t>
      </w:r>
      <w:r>
        <w:rPr>
          <w:color w:val="202528"/>
          <w:spacing w:val="-2"/>
        </w:rPr>
        <w:t> </w:t>
      </w:r>
      <w:r>
        <w:rPr>
          <w:color w:val="202528"/>
        </w:rPr>
        <w:t>of</w:t>
      </w:r>
      <w:r>
        <w:rPr>
          <w:color w:val="202528"/>
          <w:spacing w:val="-2"/>
        </w:rPr>
        <w:t> </w:t>
      </w:r>
      <w:r>
        <w:rPr>
          <w:color w:val="202528"/>
        </w:rPr>
        <w:t>account</w:t>
      </w:r>
      <w:r>
        <w:rPr>
          <w:color w:val="202528"/>
          <w:spacing w:val="-2"/>
        </w:rPr>
        <w:t> </w:t>
      </w:r>
      <w:r>
        <w:rPr>
          <w:color w:val="202528"/>
        </w:rPr>
        <w:t>sent</w:t>
      </w:r>
      <w:r>
        <w:rPr>
          <w:color w:val="202528"/>
          <w:spacing w:val="-1"/>
        </w:rPr>
        <w:t> </w:t>
      </w:r>
      <w:r>
        <w:rPr>
          <w:color w:val="202528"/>
        </w:rPr>
        <w:t>by</w:t>
      </w:r>
      <w:r>
        <w:rPr>
          <w:color w:val="202528"/>
          <w:spacing w:val="-2"/>
        </w:rPr>
        <w:t> </w:t>
      </w:r>
      <w:r>
        <w:rPr>
          <w:color w:val="202528"/>
        </w:rPr>
        <w:t>broker</w:t>
      </w:r>
      <w:r>
        <w:rPr>
          <w:color w:val="202528"/>
          <w:spacing w:val="-2"/>
        </w:rPr>
        <w:t> </w:t>
      </w:r>
      <w:r>
        <w:rPr>
          <w:color w:val="202528"/>
        </w:rPr>
        <w:t>and</w:t>
      </w:r>
      <w:r>
        <w:rPr>
          <w:color w:val="202528"/>
          <w:spacing w:val="-2"/>
        </w:rPr>
        <w:t> </w:t>
      </w:r>
      <w:r>
        <w:rPr>
          <w:color w:val="202528"/>
        </w:rPr>
        <w:t>immediately</w:t>
      </w:r>
      <w:r>
        <w:rPr>
          <w:color w:val="202528"/>
          <w:spacing w:val="-1"/>
        </w:rPr>
        <w:t> </w:t>
      </w:r>
      <w:r>
        <w:rPr>
          <w:color w:val="202528"/>
        </w:rPr>
        <w:t>raise</w:t>
      </w:r>
      <w:r>
        <w:rPr>
          <w:color w:val="202528"/>
          <w:spacing w:val="-2"/>
        </w:rPr>
        <w:t> </w:t>
      </w:r>
      <w:r>
        <w:rPr>
          <w:color w:val="202528"/>
        </w:rPr>
        <w:t>a</w:t>
      </w:r>
      <w:r>
        <w:rPr>
          <w:color w:val="202528"/>
          <w:spacing w:val="-2"/>
        </w:rPr>
        <w:t> </w:t>
      </w:r>
      <w:r>
        <w:rPr>
          <w:color w:val="202528"/>
        </w:rPr>
        <w:t>concern</w:t>
      </w:r>
      <w:r>
        <w:rPr>
          <w:color w:val="202528"/>
          <w:spacing w:val="-2"/>
        </w:rPr>
        <w:t> </w:t>
      </w:r>
      <w:r>
        <w:rPr>
          <w:color w:val="202528"/>
        </w:rPr>
        <w:t>to</w:t>
      </w:r>
      <w:r>
        <w:rPr>
          <w:color w:val="202528"/>
          <w:spacing w:val="-2"/>
        </w:rPr>
        <w:t> </w:t>
      </w:r>
      <w:r>
        <w:rPr>
          <w:color w:val="202528"/>
        </w:rPr>
        <w:t>the</w:t>
      </w:r>
      <w:r>
        <w:rPr>
          <w:color w:val="202528"/>
          <w:spacing w:val="-1"/>
        </w:rPr>
        <w:t> </w:t>
      </w:r>
      <w:r>
        <w:rPr>
          <w:color w:val="202528"/>
        </w:rPr>
        <w:t>exchange</w:t>
      </w:r>
      <w:r>
        <w:rPr>
          <w:color w:val="202528"/>
          <w:spacing w:val="-2"/>
        </w:rPr>
        <w:t> </w:t>
      </w:r>
      <w:r>
        <w:rPr>
          <w:color w:val="202528"/>
        </w:rPr>
        <w:t>if</w:t>
      </w:r>
      <w:r>
        <w:rPr>
          <w:color w:val="202528"/>
          <w:spacing w:val="-2"/>
        </w:rPr>
        <w:t> </w:t>
      </w:r>
      <w:r>
        <w:rPr>
          <w:color w:val="202528"/>
        </w:rPr>
        <w:t>you</w:t>
      </w:r>
      <w:r>
        <w:rPr>
          <w:color w:val="202528"/>
          <w:spacing w:val="-2"/>
        </w:rPr>
        <w:t> </w:t>
      </w:r>
      <w:r>
        <w:rPr>
          <w:color w:val="202528"/>
        </w:rPr>
        <w:t>notice</w:t>
      </w:r>
      <w:r>
        <w:rPr>
          <w:color w:val="202528"/>
          <w:spacing w:val="-2"/>
        </w:rPr>
        <w:t> </w:t>
      </w:r>
      <w:r>
        <w:rPr>
          <w:color w:val="202528"/>
        </w:rPr>
        <w:t>a</w:t>
      </w:r>
      <w:r>
        <w:rPr>
          <w:color w:val="202528"/>
          <w:spacing w:val="-1"/>
        </w:rPr>
        <w:t> </w:t>
      </w:r>
      <w:r>
        <w:rPr>
          <w:color w:val="202528"/>
        </w:rPr>
        <w:t>discrepancy.</w:t>
      </w:r>
    </w:p>
    <w:p>
      <w:pPr>
        <w:pStyle w:val="BodyText"/>
        <w:spacing w:line="249" w:lineRule="auto" w:before="119"/>
        <w:ind w:right="120"/>
        <w:jc w:val="both"/>
      </w:pPr>
      <w:r>
        <w:rPr>
          <w:color w:val="202528"/>
        </w:rPr>
        <w:t>§</w:t>
      </w:r>
      <w:r>
        <w:rPr>
          <w:color w:val="202528"/>
          <w:spacing w:val="1"/>
        </w:rPr>
        <w:t> </w:t>
      </w:r>
      <w:r>
        <w:rPr>
          <w:color w:val="202528"/>
        </w:rPr>
        <w:t>Please do not transfer funds, for the purposes of trading to anyone, including an authorized person or an associate of the broker, other than a SEBI</w:t>
      </w:r>
      <w:r>
        <w:rPr>
          <w:color w:val="202528"/>
          <w:spacing w:val="1"/>
        </w:rPr>
        <w:t> </w:t>
      </w:r>
      <w:r>
        <w:rPr>
          <w:color w:val="202528"/>
        </w:rPr>
        <w:t>registered</w:t>
      </w:r>
      <w:r>
        <w:rPr>
          <w:color w:val="202528"/>
          <w:spacing w:val="-2"/>
        </w:rPr>
        <w:t> </w:t>
      </w:r>
      <w:r>
        <w:rPr>
          <w:color w:val="202528"/>
        </w:rPr>
        <w:t>Stock</w:t>
      </w:r>
      <w:r>
        <w:rPr>
          <w:color w:val="202528"/>
          <w:spacing w:val="-1"/>
        </w:rPr>
        <w:t> </w:t>
      </w:r>
      <w:r>
        <w:rPr>
          <w:color w:val="202528"/>
        </w:rPr>
        <w:t>broker.”</w:t>
      </w:r>
    </w:p>
    <w:p>
      <w:pPr>
        <w:pStyle w:val="BodyText"/>
        <w:spacing w:before="119"/>
        <w:jc w:val="both"/>
      </w:pPr>
      <w:r>
        <w:rPr>
          <w:color w:val="202528"/>
        </w:rPr>
        <w:t>Members</w:t>
      </w:r>
      <w:r>
        <w:rPr>
          <w:color w:val="202528"/>
          <w:spacing w:val="-3"/>
        </w:rPr>
        <w:t> </w:t>
      </w:r>
      <w:r>
        <w:rPr>
          <w:color w:val="202528"/>
        </w:rPr>
        <w:t>may</w:t>
      </w:r>
      <w:r>
        <w:rPr>
          <w:color w:val="202528"/>
          <w:spacing w:val="-3"/>
        </w:rPr>
        <w:t> </w:t>
      </w:r>
      <w:r>
        <w:rPr>
          <w:color w:val="202528"/>
        </w:rPr>
        <w:t>take</w:t>
      </w:r>
      <w:r>
        <w:rPr>
          <w:color w:val="202528"/>
          <w:spacing w:val="-2"/>
        </w:rPr>
        <w:t> </w:t>
      </w:r>
      <w:r>
        <w:rPr>
          <w:color w:val="202528"/>
        </w:rPr>
        <w:t>note</w:t>
      </w:r>
      <w:r>
        <w:rPr>
          <w:color w:val="202528"/>
          <w:spacing w:val="-3"/>
        </w:rPr>
        <w:t> </w:t>
      </w:r>
      <w:r>
        <w:rPr>
          <w:color w:val="202528"/>
        </w:rPr>
        <w:t>of</w:t>
      </w:r>
      <w:r>
        <w:rPr>
          <w:color w:val="202528"/>
          <w:spacing w:val="-3"/>
        </w:rPr>
        <w:t> </w:t>
      </w:r>
      <w:r>
        <w:rPr>
          <w:color w:val="202528"/>
        </w:rPr>
        <w:t>the</w:t>
      </w:r>
      <w:r>
        <w:rPr>
          <w:color w:val="202528"/>
          <w:spacing w:val="-2"/>
        </w:rPr>
        <w:t> </w:t>
      </w:r>
      <w:r>
        <w:rPr>
          <w:color w:val="202528"/>
        </w:rPr>
        <w:t>above</w:t>
      </w:r>
      <w:r>
        <w:rPr>
          <w:color w:val="202528"/>
          <w:spacing w:val="-3"/>
        </w:rPr>
        <w:t> </w:t>
      </w:r>
      <w:r>
        <w:rPr>
          <w:color w:val="202528"/>
        </w:rPr>
        <w:t>and</w:t>
      </w:r>
      <w:r>
        <w:rPr>
          <w:color w:val="202528"/>
          <w:spacing w:val="-3"/>
        </w:rPr>
        <w:t> </w:t>
      </w:r>
      <w:r>
        <w:rPr>
          <w:color w:val="202528"/>
        </w:rPr>
        <w:t>comply.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7"/>
        <w:ind w:left="0"/>
      </w:pPr>
    </w:p>
    <w:p>
      <w:pPr>
        <w:pStyle w:val="Heading1"/>
      </w:pPr>
      <w:r>
        <w:rPr/>
        <w:t>For and on behalf of BSE Ltd.</w:t>
      </w:r>
    </w:p>
    <w:p>
      <w:pPr>
        <w:pStyle w:val="BodyText"/>
        <w:ind w:left="0"/>
        <w:rPr>
          <w:rFonts w:ascii="Arial"/>
          <w:b/>
          <w:sz w:val="26"/>
        </w:rPr>
      </w:pPr>
    </w:p>
    <w:p>
      <w:pPr>
        <w:pStyle w:val="BodyText"/>
        <w:ind w:left="0"/>
        <w:rPr>
          <w:rFonts w:ascii="Arial"/>
          <w:b/>
          <w:sz w:val="26"/>
        </w:rPr>
      </w:pPr>
    </w:p>
    <w:p>
      <w:pPr>
        <w:pStyle w:val="BodyText"/>
        <w:spacing w:before="9"/>
        <w:ind w:left="0"/>
        <w:rPr>
          <w:rFonts w:ascii="Arial"/>
          <w:b/>
        </w:rPr>
      </w:pPr>
    </w:p>
    <w:p>
      <w:pPr>
        <w:pStyle w:val="BodyText"/>
        <w:tabs>
          <w:tab w:pos="6380" w:val="left" w:leader="none"/>
        </w:tabs>
      </w:pPr>
      <w:r>
        <w:rPr/>
        <w:t>Hemant</w:t>
      </w:r>
      <w:r>
        <w:rPr>
          <w:spacing w:val="-5"/>
        </w:rPr>
        <w:t> </w:t>
      </w:r>
      <w:r>
        <w:rPr/>
        <w:t>Dharap</w:t>
        <w:tab/>
        <w:t>Sandeep</w:t>
      </w:r>
      <w:r>
        <w:rPr>
          <w:spacing w:val="-6"/>
        </w:rPr>
        <w:t> </w:t>
      </w:r>
      <w:r>
        <w:rPr/>
        <w:t>Sharma</w:t>
      </w:r>
    </w:p>
    <w:p>
      <w:pPr>
        <w:pStyle w:val="BodyText"/>
        <w:tabs>
          <w:tab w:pos="6380" w:val="left" w:leader="none"/>
        </w:tabs>
        <w:spacing w:before="129"/>
      </w:pPr>
      <w:r>
        <w:rPr/>
        <w:t>Deputy</w:t>
      </w:r>
      <w:r>
        <w:rPr>
          <w:spacing w:val="-4"/>
        </w:rPr>
        <w:t> </w:t>
      </w:r>
      <w:r>
        <w:rPr/>
        <w:t>General</w:t>
      </w:r>
      <w:r>
        <w:rPr>
          <w:spacing w:val="-4"/>
        </w:rPr>
        <w:t> </w:t>
      </w:r>
      <w:r>
        <w:rPr/>
        <w:t>Manager</w:t>
        <w:tab/>
        <w:t>Asst.</w:t>
      </w:r>
      <w:r>
        <w:rPr>
          <w:spacing w:val="-4"/>
        </w:rPr>
        <w:t> </w:t>
      </w:r>
      <w:r>
        <w:rPr/>
        <w:t>General</w:t>
      </w:r>
      <w:r>
        <w:rPr>
          <w:spacing w:val="-4"/>
        </w:rPr>
        <w:t> </w:t>
      </w:r>
      <w:r>
        <w:rPr/>
        <w:t>Manager</w:t>
      </w:r>
    </w:p>
    <w:p>
      <w:pPr>
        <w:pStyle w:val="BodyText"/>
        <w:tabs>
          <w:tab w:pos="6343" w:val="left" w:leader="none"/>
        </w:tabs>
        <w:spacing w:before="129"/>
      </w:pPr>
      <w:r>
        <w:rPr/>
        <w:t>Membership</w:t>
      </w:r>
      <w:r>
        <w:rPr>
          <w:spacing w:val="-4"/>
        </w:rPr>
        <w:t> </w:t>
      </w:r>
      <w:r>
        <w:rPr/>
        <w:t>Compliance</w:t>
        <w:tab/>
        <w:t>Brokers’</w:t>
      </w:r>
      <w:r>
        <w:rPr>
          <w:spacing w:val="-10"/>
        </w:rPr>
        <w:t> </w:t>
      </w:r>
      <w:r>
        <w:rPr/>
        <w:t>Supervision</w:t>
      </w:r>
    </w:p>
    <w:sectPr>
      <w:type w:val="continuous"/>
      <w:pgSz w:w="16840" w:h="23820"/>
      <w:pgMar w:top="420" w:bottom="280" w:left="100" w:right="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</w:pPr>
    <w:rPr>
      <w:rFonts w:ascii="Arial MT" w:hAnsi="Arial MT" w:eastAsia="Arial MT" w:cs="Arial MT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90"/>
      <w:ind w:left="7635" w:right="7651"/>
      <w:jc w:val="center"/>
    </w:pPr>
    <w:rPr>
      <w:rFonts w:ascii="Arial" w:hAnsi="Arial" w:eastAsia="Arial" w:cs="Arial"/>
      <w:b/>
      <w:bCs/>
      <w:sz w:val="30"/>
      <w:szCs w:val="3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bseindia.com/static/investors/Claim_against_Defaulter.aspx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2023-07-26T13:45:11Z</dcterms:created>
  <dcterms:modified xsi:type="dcterms:W3CDTF">2023-07-26T13:45:11Z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LastSaved">
    <vt:filetime>2023-07-26T00:00:00Z</vt:filetime>
  </property>
</Properties>
</file>